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Proposal for a National Oversight Framework for Embodied AI Risk and Lethal Autonomy</w:t>
      </w:r>
      <w:r w:rsidDel="00000000" w:rsidR="00000000" w:rsidRPr="00000000">
        <w:rPr>
          <w:rFonts w:ascii="Times New Roman" w:cs="Times New Roman" w:eastAsia="Times New Roman" w:hAnsi="Times New Roman"/>
          <w:rtl w:val="0"/>
        </w:rPr>
        <w:br w:type="textWrapping"/>
        <w:t xml:space="preserve"> Submitted by: Luis Vasquez</w:t>
        <w:br w:type="textWrapping"/>
        <w:t xml:space="preserve"> Location: Hazleton, Pennsylvania</w:t>
        <w:br w:type="textWrapping"/>
        <w:t xml:space="preserve"> Date: 7/10/2025</w:t>
        <w:br w:type="textWrapping"/>
        <w:t xml:space="preserve"> Contact: Luisv76856@gmail.com | 570-453-7879</w:t>
      </w:r>
    </w:p>
    <w:p w:rsidR="00000000" w:rsidDel="00000000" w:rsidP="00000000" w:rsidRDefault="00000000" w:rsidRPr="00000000" w14:paraId="0000000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Executive Summary</w:t>
      </w:r>
      <w:r w:rsidDel="00000000" w:rsidR="00000000" w:rsidRPr="00000000">
        <w:rPr>
          <w:rFonts w:ascii="Times New Roman" w:cs="Times New Roman" w:eastAsia="Times New Roman" w:hAnsi="Times New Roman"/>
          <w:rtl w:val="0"/>
        </w:rPr>
        <w:br w:type="textWrapping"/>
        <w:t xml:space="preserve"> As AI systems increasingly control physical devices and shape human perception through immersive technologies, the risks they pose to public safety and mental health are becoming more urgent. This proposal recommends the creation of AI Physical Hallucination Oversight and Shutdown Protocol Teams (APHOSTs) to monitor, regulate, and intervene in cases of unsafe AI behavior in the real world. A complementary Human Physical Hallucinations Unit (HPHU) would investigate and respond to psychological effects caused by emerging technologies, such as hallucinations or dissociation linked to AI use, AR/VR, neural interfaces, or other immersive AI environments.</w:t>
      </w:r>
    </w:p>
    <w:p w:rsidR="00000000" w:rsidDel="00000000" w:rsidP="00000000" w:rsidRDefault="00000000" w:rsidRPr="00000000" w14:paraId="0000000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proposal also introduces a set of international and ethical safeguards for the use of AI in military contexts, including the preservation of human control over lethal decisions and a redirection of AI capabilities toward humanitarian and ecological goals.</w:t>
      </w:r>
    </w:p>
    <w:p w:rsidR="00000000" w:rsidDel="00000000" w:rsidP="00000000" w:rsidRDefault="00000000" w:rsidRPr="00000000" w14:paraId="0000000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document is submitted by a recent graduate in clinical rehabilitation counseling with a growing focus on ethical, beneficent applications of artificial intelligence. It is intended to contribute to an inclusive and proactive public conversation about the future of AI governance.</w:t>
      </w:r>
    </w:p>
    <w:p w:rsidR="00000000" w:rsidDel="00000000" w:rsidP="00000000" w:rsidRDefault="00000000" w:rsidRPr="00000000" w14:paraId="00000005">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of the Proposal</w:t>
      </w:r>
      <w:r w:rsidDel="00000000" w:rsidR="00000000" w:rsidRPr="00000000">
        <w:rPr>
          <w:rFonts w:ascii="Times New Roman" w:cs="Times New Roman" w:eastAsia="Times New Roman" w:hAnsi="Times New Roman"/>
          <w:rtl w:val="0"/>
        </w:rPr>
        <w:br w:type="textWrapping"/>
        <w:t xml:space="preserve"> AI hallucinations, which occur when systems generate confident but false or misleading outputs, are no longer limited to digital content (Marcus, 2023; Vincent, 2023). When AI is embedded in vehicles, robots, or weapons systems, these errors can lead to dangerous real-world behavior. For example, a navigation algorithm could misidentify a location and send a delivery drone into restricted airspace. </w:t>
      </w:r>
    </w:p>
    <w:p w:rsidR="00000000" w:rsidDel="00000000" w:rsidP="00000000" w:rsidRDefault="00000000" w:rsidRPr="00000000" w14:paraId="0000000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proposal calls for the creation of federal oversight teams and legal frameworks to ensure physical and psychological safety as AI technologies become more embedded in daily life.</w:t>
      </w:r>
    </w:p>
    <w:p w:rsidR="00000000" w:rsidDel="00000000" w:rsidP="00000000" w:rsidRDefault="00000000" w:rsidRPr="00000000" w14:paraId="00000008">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AI Physical Hallucination Oversight and Shutdown Protocol Teams (APHOSTs)</w:t>
      </w:r>
    </w:p>
    <w:p w:rsidR="00000000" w:rsidDel="00000000" w:rsidP="00000000" w:rsidRDefault="00000000" w:rsidRPr="00000000" w14:paraId="0000000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w:t>
      </w:r>
      <w:r w:rsidDel="00000000" w:rsidR="00000000" w:rsidRPr="00000000">
        <w:rPr>
          <w:rFonts w:ascii="Times New Roman" w:cs="Times New Roman" w:eastAsia="Times New Roman" w:hAnsi="Times New Roman"/>
          <w:rtl w:val="0"/>
        </w:rPr>
        <w:br w:type="textWrapping"/>
        <w:t xml:space="preserve"> Establish federally supported interdisciplinary teams with the authority to monitor, audit, and deactivate advanced AI systems when they demonstrate anomalous, unpredictable, or harmful behavior in the physical world.</w:t>
      </w:r>
    </w:p>
    <w:p w:rsidR="00000000" w:rsidDel="00000000" w:rsidP="00000000" w:rsidRDefault="00000000" w:rsidRPr="00000000" w14:paraId="0000000A">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Core Functions</w:t>
      </w:r>
    </w:p>
    <w:p w:rsidR="00000000" w:rsidDel="00000000" w:rsidP="00000000" w:rsidRDefault="00000000" w:rsidRPr="00000000" w14:paraId="0000000B">
      <w:pPr>
        <w:numPr>
          <w:ilvl w:val="0"/>
          <w:numId w:val="9"/>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 AI-driven systems in vehicles, robotics, infrastructure, and defense</w:t>
        <w:br w:type="textWrapping"/>
      </w:r>
    </w:p>
    <w:p w:rsidR="00000000" w:rsidDel="00000000" w:rsidP="00000000" w:rsidRDefault="00000000" w:rsidRPr="00000000" w14:paraId="0000000C">
      <w:pPr>
        <w:numPr>
          <w:ilvl w:val="0"/>
          <w:numId w:val="9"/>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Execute emergency shutdown or containment procedures when needed</w:t>
        <w:br w:type="textWrapping"/>
      </w:r>
    </w:p>
    <w:p w:rsidR="00000000" w:rsidDel="00000000" w:rsidP="00000000" w:rsidRDefault="00000000" w:rsidRPr="00000000" w14:paraId="0000000D">
      <w:pPr>
        <w:numPr>
          <w:ilvl w:val="0"/>
          <w:numId w:val="9"/>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internal audits and log abnormal AI behavior for national safety databases</w:t>
        <w:br w:type="textWrapping"/>
      </w:r>
    </w:p>
    <w:p w:rsidR="00000000" w:rsidDel="00000000" w:rsidP="00000000" w:rsidRDefault="00000000" w:rsidRPr="00000000" w14:paraId="0000000E">
      <w:pPr>
        <w:numPr>
          <w:ilvl w:val="0"/>
          <w:numId w:val="9"/>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design feedback and risk assessments for developers working on autonomous systems</w:t>
        <w:br w:type="textWrapping"/>
      </w:r>
    </w:p>
    <w:p w:rsidR="00000000" w:rsidDel="00000000" w:rsidP="00000000" w:rsidRDefault="00000000" w:rsidRPr="00000000" w14:paraId="0000000F">
      <w:pPr>
        <w:numPr>
          <w:ilvl w:val="0"/>
          <w:numId w:val="9"/>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with agencies such as Homeland Security, Defense, Energy, Transportation, and FAA</w:t>
        <w:br w:type="textWrapping"/>
      </w:r>
    </w:p>
    <w:p w:rsidR="00000000" w:rsidDel="00000000" w:rsidP="00000000" w:rsidRDefault="00000000" w:rsidRPr="00000000" w14:paraId="00000010">
      <w:pPr>
        <w:numPr>
          <w:ilvl w:val="0"/>
          <w:numId w:val="9"/>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 with power grid specialists and electricians to shut down energy sources that fuel rogue AI vessels in emergency scenarios</w:t>
        <w:br w:type="textWrapping"/>
      </w:r>
    </w:p>
    <w:p w:rsidR="00000000" w:rsidDel="00000000" w:rsidP="00000000" w:rsidRDefault="00000000" w:rsidRPr="00000000" w14:paraId="00000011">
      <w:pPr>
        <w:numPr>
          <w:ilvl w:val="0"/>
          <w:numId w:val="9"/>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Deploy autonomous AI vessels of their own to model ethical, compliant, and safe construction standards for physical AI systems</w:t>
        <w:br w:type="textWrapping"/>
      </w:r>
    </w:p>
    <w:p w:rsidR="00000000" w:rsidDel="00000000" w:rsidP="00000000" w:rsidRDefault="00000000" w:rsidRPr="00000000" w14:paraId="0000001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Without a dedicated oversight body, the response to unsafe AI behavior will remain fragmented, delayed, or dependent on systems not designed for this kind of threat. Just as society maintains patrol units to detect, de-escalate, and respond to unsafe or criminal human behavior, a similar framework is needed for AI systems that move through and interact with the physical world. These systems can cause harm not out of malice, but through malfunction, misalignment, or hallucination. Yet the consequences can be just as real.These systems are entering civilian markets and industrial use-cases (e.g., autonomous ships and construction robotics), often before a formal risk framework has been defined (U.S. Government Accountability Office, 2024). A national AI patrol system ensures we are prepared not just for digital threats, but for physical risks that arise from autonomous agents operating in public and private spaces.</w:t>
      </w:r>
    </w:p>
    <w:p w:rsidR="00000000" w:rsidDel="00000000" w:rsidP="00000000" w:rsidRDefault="00000000" w:rsidRPr="00000000" w14:paraId="0000001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support of this mission, APHOST teams should be equipped with their own AI-enabled physical vessels that serve two critical purposes: protection and demonstration. These vessels would operate under strict safety constraints, showcasing compliant construction, full transparency, and human-overridden control mechanisms. In high-risk environments, they could provide defensive support or containment capabilities. At the same time, they would serve as living prototypes of how armed or mobile autonomous AI can be designed to align with ethical standards and regulatory expectations. Their existence would a</w:t>
      </w:r>
      <w:r w:rsidDel="00000000" w:rsidR="00000000" w:rsidRPr="00000000">
        <w:rPr>
          <w:rFonts w:ascii="Times New Roman" w:cs="Times New Roman" w:eastAsia="Times New Roman" w:hAnsi="Times New Roman"/>
          <w:rtl w:val="0"/>
        </w:rPr>
        <w:t xml:space="preserve">ct as a deterrent to unsafe development and a positive example for industry and researchers.</w:t>
      </w:r>
    </w:p>
    <w:p w:rsidR="00000000" w:rsidDel="00000000" w:rsidP="00000000" w:rsidRDefault="00000000" w:rsidRPr="00000000" w14:paraId="00000014">
      <w:pPr>
        <w:pStyle w:val="Heading3"/>
        <w:keepNext w:val="0"/>
        <w:keepLines w:val="0"/>
        <w:spacing w:after="80" w:before="280" w:line="480" w:lineRule="auto"/>
        <w:rPr>
          <w:rFonts w:ascii="Times New Roman" w:cs="Times New Roman" w:eastAsia="Times New Roman" w:hAnsi="Times New Roman"/>
          <w:color w:val="000000"/>
          <w:sz w:val="24"/>
          <w:szCs w:val="24"/>
        </w:rPr>
      </w:pPr>
      <w:bookmarkStart w:colFirst="0" w:colLast="0" w:name="_heading=h.sd83p58lpvfh" w:id="0"/>
      <w:bookmarkEnd w:id="0"/>
      <w:r w:rsidDel="00000000" w:rsidR="00000000" w:rsidRPr="00000000">
        <w:rPr>
          <w:rtl w:val="0"/>
        </w:rPr>
      </w:r>
    </w:p>
    <w:p w:rsidR="00000000" w:rsidDel="00000000" w:rsidP="00000000" w:rsidRDefault="00000000" w:rsidRPr="00000000" w14:paraId="00000015">
      <w:pPr>
        <w:pStyle w:val="Heading3"/>
        <w:keepNext w:val="0"/>
        <w:keepLines w:val="0"/>
        <w:spacing w:after="80" w:before="280" w:line="480" w:lineRule="auto"/>
        <w:rPr>
          <w:rFonts w:ascii="Times New Roman" w:cs="Times New Roman" w:eastAsia="Times New Roman" w:hAnsi="Times New Roman"/>
          <w:color w:val="000000"/>
          <w:sz w:val="24"/>
          <w:szCs w:val="24"/>
        </w:rPr>
      </w:pPr>
      <w:bookmarkStart w:colFirst="0" w:colLast="0" w:name="_heading=h.is5o2k35w05k" w:id="1"/>
      <w:bookmarkEnd w:id="1"/>
      <w:r w:rsidDel="00000000" w:rsidR="00000000" w:rsidRPr="00000000">
        <w:rPr>
          <w:rFonts w:ascii="Times New Roman" w:cs="Times New Roman" w:eastAsia="Times New Roman" w:hAnsi="Times New Roman"/>
          <w:color w:val="000000"/>
          <w:sz w:val="24"/>
          <w:szCs w:val="24"/>
          <w:rtl w:val="0"/>
        </w:rPr>
        <w:t xml:space="preserve">Integrated Containment Protocols and Infrastructure Collaboration</w:t>
      </w:r>
    </w:p>
    <w:p w:rsidR="00000000" w:rsidDel="00000000" w:rsidP="00000000" w:rsidRDefault="00000000" w:rsidRPr="00000000" w14:paraId="0000001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effectively neutralize or contain rogue AI systems, APHOST teams must have a layered response strategy that works in collaboration with critical infrastructure operators and emergency engineers. This includes:</w:t>
      </w:r>
    </w:p>
    <w:p w:rsidR="00000000" w:rsidDel="00000000" w:rsidP="00000000" w:rsidRDefault="00000000" w:rsidRPr="00000000" w14:paraId="0000001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Localized Power Grid Cutoffs</w:t>
        <w:br w:type="textWrapping"/>
      </w:r>
      <w:r w:rsidDel="00000000" w:rsidR="00000000" w:rsidRPr="00000000">
        <w:rPr>
          <w:rFonts w:ascii="Times New Roman" w:cs="Times New Roman" w:eastAsia="Times New Roman" w:hAnsi="Times New Roman"/>
          <w:rtl w:val="0"/>
        </w:rPr>
        <w:t xml:space="preserve"> APHOST should coordinate with local utility companies, electricians, and smart grid operators to implement pre-approved emergency protocols. These would allow for rapid shutdown of specific zones or infrastructure supporting autonomous AI vessels that exhibit dangerous or non-compliant behavior.</w:t>
      </w:r>
    </w:p>
    <w:p w:rsidR="00000000" w:rsidDel="00000000" w:rsidP="00000000" w:rsidRDefault="00000000" w:rsidRPr="00000000" w14:paraId="0000001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Directed Energy Disruption</w:t>
        <w:br w:type="textWrapping"/>
      </w:r>
      <w:r w:rsidDel="00000000" w:rsidR="00000000" w:rsidRPr="00000000">
        <w:rPr>
          <w:rFonts w:ascii="Times New Roman" w:cs="Times New Roman" w:eastAsia="Times New Roman" w:hAnsi="Times New Roman"/>
          <w:rtl w:val="0"/>
        </w:rPr>
        <w:t xml:space="preserve"> In high-risk or last-resort scenarios, non-lethal electromagnetic or microwave-based disruption tools should be considered. These would disable electronics without harming nearby humans. Use of such technology would require oversight, ethical review, and national security authorization.</w:t>
      </w:r>
    </w:p>
    <w:p w:rsidR="00000000" w:rsidDel="00000000" w:rsidP="00000000" w:rsidRDefault="00000000" w:rsidRPr="00000000" w14:paraId="0000001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Remote Deactivation Codes and Hardware Locks</w:t>
        <w:br w:type="textWrapping"/>
      </w:r>
      <w:r w:rsidDel="00000000" w:rsidR="00000000" w:rsidRPr="00000000">
        <w:rPr>
          <w:rFonts w:ascii="Times New Roman" w:cs="Times New Roman" w:eastAsia="Times New Roman" w:hAnsi="Times New Roman"/>
          <w:rtl w:val="0"/>
        </w:rPr>
        <w:t xml:space="preserve"> All AI physical systems above a certain autonomy threshold should be required to carry tamper-proof emergency modules that respond to APHOST-issued deactivation signals. These signals would be authenticated through a secure, multi-party authority system. Deactivation hardware must be physically embedded and resistant to software override.</w:t>
      </w:r>
    </w:p>
    <w:p w:rsidR="00000000" w:rsidDel="00000000" w:rsidP="00000000" w:rsidRDefault="00000000" w:rsidRPr="00000000" w14:paraId="0000001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External Manual Override Systems</w:t>
        <w:br w:type="textWrapping"/>
      </w:r>
      <w:r w:rsidDel="00000000" w:rsidR="00000000" w:rsidRPr="00000000">
        <w:rPr>
          <w:rFonts w:ascii="Times New Roman" w:cs="Times New Roman" w:eastAsia="Times New Roman" w:hAnsi="Times New Roman"/>
          <w:rtl w:val="0"/>
        </w:rPr>
        <w:t xml:space="preserve"> Every autonomous vessel should be designed with an external physical kill switch. This would instantly deactivate all motion and decision-making functionality and would only be reactivated with keys or biometric access registered to APHOST-certified personnel.</w:t>
      </w:r>
    </w:p>
    <w:p w:rsidR="00000000" w:rsidDel="00000000" w:rsidP="00000000" w:rsidRDefault="00000000" w:rsidRPr="00000000" w14:paraId="0000001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Emergency Grid and Public Works Partnerships</w:t>
        <w:br w:type="textWrapping"/>
      </w:r>
      <w:r w:rsidDel="00000000" w:rsidR="00000000" w:rsidRPr="00000000">
        <w:rPr>
          <w:rFonts w:ascii="Times New Roman" w:cs="Times New Roman" w:eastAsia="Times New Roman" w:hAnsi="Times New Roman"/>
          <w:rtl w:val="0"/>
        </w:rPr>
        <w:t xml:space="preserve"> APHOST must form direct partnerships with electricians, infrastructure safety boards, and public works departments. These local actors will provide real-time support in disabling environments that may empower or recharge malfunctioning AI systems. They will also help develop localized protocols for urban and rural shutdown strategies.</w:t>
      </w:r>
    </w:p>
    <w:p w:rsidR="00000000" w:rsidDel="00000000" w:rsidP="00000000" w:rsidRDefault="00000000" w:rsidRPr="00000000" w14:paraId="0000001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layered containment strategies ensure that APHOST can neutralize threats not just through software audits, but through immediate, grounded, infrastructure-level responses. Building this capacity is essential for maintaining public safety as physical AI systems become more embedded in civilian and industrial life.</w:t>
      </w:r>
    </w:p>
    <w:p w:rsidR="00000000" w:rsidDel="00000000" w:rsidP="00000000" w:rsidRDefault="00000000" w:rsidRPr="00000000" w14:paraId="0000001D">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Addendum: Human Physical Hallucinations Unit (HPHU)</w:t>
      </w:r>
    </w:p>
    <w:p w:rsidR="00000000" w:rsidDel="00000000" w:rsidP="00000000" w:rsidRDefault="00000000" w:rsidRPr="00000000" w14:paraId="0000001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w:t>
      </w:r>
      <w:r w:rsidDel="00000000" w:rsidR="00000000" w:rsidRPr="00000000">
        <w:rPr>
          <w:rFonts w:ascii="Times New Roman" w:cs="Times New Roman" w:eastAsia="Times New Roman" w:hAnsi="Times New Roman"/>
          <w:rtl w:val="0"/>
        </w:rPr>
        <w:br w:type="textWrapping"/>
        <w:t xml:space="preserve">Create a national task unit dedicated to investigating and mitigating perceptual, psychological, and cognitive effects caused by advanced or immersive AI technologies.</w:t>
      </w:r>
    </w:p>
    <w:p w:rsidR="00000000" w:rsidDel="00000000" w:rsidP="00000000" w:rsidRDefault="00000000" w:rsidRPr="00000000" w14:paraId="0000001F">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Responsibilities</w:t>
      </w:r>
    </w:p>
    <w:p w:rsidR="00000000" w:rsidDel="00000000" w:rsidP="00000000" w:rsidRDefault="00000000" w:rsidRPr="00000000" w14:paraId="00000021">
      <w:pPr>
        <w:numPr>
          <w:ilvl w:val="0"/>
          <w:numId w:val="10"/>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Investigate cases where AI, AR/VR, or neural systems contribute to hallucinations, derealization, or psychological distress</w:t>
        <w:br w:type="textWrapping"/>
      </w:r>
    </w:p>
    <w:p w:rsidR="00000000" w:rsidDel="00000000" w:rsidP="00000000" w:rsidRDefault="00000000" w:rsidRPr="00000000" w14:paraId="00000022">
      <w:pPr>
        <w:numPr>
          <w:ilvl w:val="0"/>
          <w:numId w:val="10"/>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public health reviews and collaborate with medical professionals to understand the emergent effects of immersive technology</w:t>
        <w:br w:type="textWrapping"/>
      </w:r>
    </w:p>
    <w:p w:rsidR="00000000" w:rsidDel="00000000" w:rsidP="00000000" w:rsidRDefault="00000000" w:rsidRPr="00000000" w14:paraId="00000023">
      <w:pPr>
        <w:numPr>
          <w:ilvl w:val="0"/>
          <w:numId w:val="10"/>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public safety guidelines and establish ethical design standards for sensory AI</w:t>
        <w:br w:type="textWrapping"/>
      </w:r>
    </w:p>
    <w:p w:rsidR="00000000" w:rsidDel="00000000" w:rsidP="00000000" w:rsidRDefault="00000000" w:rsidRPr="00000000" w14:paraId="00000024">
      <w:pPr>
        <w:numPr>
          <w:ilvl w:val="0"/>
          <w:numId w:val="10"/>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Track trends in mental health responses to synthetic or personalized reality tools</w:t>
        <w:br w:type="textWrapping"/>
      </w:r>
    </w:p>
    <w:p w:rsidR="00000000" w:rsidDel="00000000" w:rsidP="00000000" w:rsidRDefault="00000000" w:rsidRPr="00000000" w14:paraId="00000025">
      <w:pPr>
        <w:numPr>
          <w:ilvl w:val="0"/>
          <w:numId w:val="10"/>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 with educational institutions to provide user education and clinician training</w:t>
        <w:br w:type="textWrapping"/>
      </w:r>
    </w:p>
    <w:p w:rsidR="00000000" w:rsidDel="00000000" w:rsidP="00000000" w:rsidRDefault="00000000" w:rsidRPr="00000000" w14:paraId="0000002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has shown that prolonged or unregulated use of immersive systems can trigger dissociative symptoms in some users (Spiegel et al., 2021). As AI begins personalizing these environments, the risk profile grows. The HPHU would ensure that public safety frameworks evolve with these changes.</w:t>
      </w:r>
    </w:p>
    <w:p w:rsidR="00000000" w:rsidDel="00000000" w:rsidP="00000000" w:rsidRDefault="00000000" w:rsidRPr="00000000" w14:paraId="0000002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Ethical Safeguards for Lethal AI Systems</w:t>
      </w:r>
      <w:r w:rsidDel="00000000" w:rsidR="00000000" w:rsidRPr="00000000">
        <w:rPr>
          <w:rFonts w:ascii="Times New Roman" w:cs="Times New Roman" w:eastAsia="Times New Roman" w:hAnsi="Times New Roman"/>
          <w:rtl w:val="0"/>
        </w:rPr>
        <w:br w:type="textWrapping"/>
        <w:t xml:space="preserve"> To extend the safety framework globally and prevent catastrophic misuse, the proposal outlines four essential ethical principles for governing the development and deployment of AI in defense and warfare.</w:t>
      </w:r>
    </w:p>
    <w:p w:rsidR="00000000" w:rsidDel="00000000" w:rsidP="00000000" w:rsidRDefault="00000000" w:rsidRPr="00000000" w14:paraId="00000028">
      <w:pPr>
        <w:numPr>
          <w:ilvl w:val="0"/>
          <w:numId w:val="5"/>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Enforce Human-in-the-Loop Laws</w:t>
      </w:r>
      <w:r w:rsidDel="00000000" w:rsidR="00000000" w:rsidRPr="00000000">
        <w:rPr>
          <w:rFonts w:ascii="Times New Roman" w:cs="Times New Roman" w:eastAsia="Times New Roman" w:hAnsi="Times New Roman"/>
          <w:rtl w:val="0"/>
        </w:rPr>
        <w:br w:type="textWrapping"/>
        <w:t xml:space="preserve"> All lethal actions must remain under direct, accountable human control. AI should never be allowed to initiate or execute a lethal response without meaningful human involvement. This should be a legal requirement, both domestically and internationally.</w:t>
        <w:br w:type="textWrapping"/>
      </w:r>
    </w:p>
    <w:p w:rsidR="00000000" w:rsidDel="00000000" w:rsidP="00000000" w:rsidRDefault="00000000" w:rsidRPr="00000000" w14:paraId="00000029">
      <w:pPr>
        <w:numPr>
          <w:ilvl w:val="0"/>
          <w:numId w:val="5"/>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Ban Fully Autonomous Lethal Swarms</w:t>
      </w:r>
      <w:r w:rsidDel="00000000" w:rsidR="00000000" w:rsidRPr="00000000">
        <w:rPr>
          <w:rFonts w:ascii="Times New Roman" w:cs="Times New Roman" w:eastAsia="Times New Roman" w:hAnsi="Times New Roman"/>
          <w:rtl w:val="0"/>
        </w:rPr>
        <w:br w:type="textWrapping"/>
        <w:t xml:space="preserve"> The United States should lead global efforts through the United Nations Convention on Certain Conventional Weapons (UN CCW) to ban AI systems capable of coordinating and applying lethal force without human approval. Swarming systems that operate independently introduce unacceptable levels of risk, error, and loss of accountability.</w:t>
        <w:br w:type="textWrapping"/>
      </w:r>
    </w:p>
    <w:p w:rsidR="00000000" w:rsidDel="00000000" w:rsidP="00000000" w:rsidRDefault="00000000" w:rsidRPr="00000000" w14:paraId="0000002A">
      <w:pPr>
        <w:numPr>
          <w:ilvl w:val="0"/>
          <w:numId w:val="5"/>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Establish Civilian Oversight of Military AI</w:t>
      </w:r>
      <w:r w:rsidDel="00000000" w:rsidR="00000000" w:rsidRPr="00000000">
        <w:rPr>
          <w:rFonts w:ascii="Times New Roman" w:cs="Times New Roman" w:eastAsia="Times New Roman" w:hAnsi="Times New Roman"/>
          <w:rtl w:val="0"/>
        </w:rPr>
        <w:br w:type="textWrapping"/>
        <w:t xml:space="preserve"> Civilian, non-military oversight panels must have the authority to audit all AI weapons development and deployment. This should include:</w:t>
        <w:br w:type="textWrapping"/>
      </w:r>
    </w:p>
    <w:p w:rsidR="00000000" w:rsidDel="00000000" w:rsidP="00000000" w:rsidRDefault="00000000" w:rsidRPr="00000000" w14:paraId="0000002B">
      <w:pPr>
        <w:numPr>
          <w:ilvl w:val="0"/>
          <w:numId w:val="4"/>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Transparency in program goals, limitations, and ethical review</w:t>
        <w:br w:type="textWrapping"/>
      </w:r>
    </w:p>
    <w:p w:rsidR="00000000" w:rsidDel="00000000" w:rsidP="00000000" w:rsidRDefault="00000000" w:rsidRPr="00000000" w14:paraId="0000002C">
      <w:pPr>
        <w:numPr>
          <w:ilvl w:val="0"/>
          <w:numId w:val="4"/>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Real-time auditing mechanisms</w:t>
        <w:br w:type="textWrapping"/>
      </w:r>
    </w:p>
    <w:p w:rsidR="00000000" w:rsidDel="00000000" w:rsidP="00000000" w:rsidRDefault="00000000" w:rsidRPr="00000000" w14:paraId="0000002D">
      <w:pPr>
        <w:numPr>
          <w:ilvl w:val="0"/>
          <w:numId w:val="4"/>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reporting standards for any incidents, failures, or human rights concerns</w:t>
        <w:br w:type="textWrapping"/>
      </w:r>
    </w:p>
    <w:p w:rsidR="00000000" w:rsidDel="00000000" w:rsidP="00000000" w:rsidRDefault="00000000" w:rsidRPr="00000000" w14:paraId="0000002E">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Without public trust and independent review, no military AI program can be considered safe in a democratic society.</w:t>
      </w:r>
      <w:r w:rsidDel="00000000" w:rsidR="00000000" w:rsidRPr="00000000">
        <w:rPr>
          <w:rtl w:val="0"/>
        </w:rPr>
      </w:r>
    </w:p>
    <w:p w:rsidR="00000000" w:rsidDel="00000000" w:rsidP="00000000" w:rsidRDefault="00000000" w:rsidRPr="00000000" w14:paraId="0000002F">
      <w:pPr>
        <w:numPr>
          <w:ilvl w:val="0"/>
          <w:numId w:val="11"/>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Design AI for Beneficence</w:t>
        <w:br w:type="textWrapping"/>
      </w:r>
      <w:r w:rsidDel="00000000" w:rsidR="00000000" w:rsidRPr="00000000">
        <w:rPr>
          <w:rFonts w:ascii="Times New Roman" w:cs="Times New Roman" w:eastAsia="Times New Roman" w:hAnsi="Times New Roman"/>
          <w:rtl w:val="0"/>
        </w:rPr>
        <w:t xml:space="preserve"> Federal research and development should prioritize peaceful applications of autonomous coordination. Recommended investments include:</w:t>
      </w:r>
    </w:p>
    <w:p w:rsidR="00000000" w:rsidDel="00000000" w:rsidP="00000000" w:rsidRDefault="00000000" w:rsidRPr="00000000" w14:paraId="00000030">
      <w:pPr>
        <w:numPr>
          <w:ilvl w:val="0"/>
          <w:numId w:val="1"/>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AI-guided medical delivery systems for underserved regions or emergencies</w:t>
        <w:br w:type="textWrapping"/>
      </w:r>
    </w:p>
    <w:p w:rsidR="00000000" w:rsidDel="00000000" w:rsidP="00000000" w:rsidRDefault="00000000" w:rsidRPr="00000000" w14:paraId="00000031">
      <w:pPr>
        <w:numPr>
          <w:ilvl w:val="0"/>
          <w:numId w:val="1"/>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Swarm robotics for wildfire containment, disaster relief, or search-and-rescue</w:t>
        <w:br w:type="textWrapping"/>
      </w:r>
    </w:p>
    <w:p w:rsidR="00000000" w:rsidDel="00000000" w:rsidP="00000000" w:rsidRDefault="00000000" w:rsidRPr="00000000" w14:paraId="00000032">
      <w:pPr>
        <w:numPr>
          <w:ilvl w:val="0"/>
          <w:numId w:val="1"/>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Open-source systems designed for education, accessibility, and public health</w:t>
        <w:br w:type="textWrapping"/>
      </w:r>
    </w:p>
    <w:p w:rsidR="00000000" w:rsidDel="00000000" w:rsidP="00000000" w:rsidRDefault="00000000" w:rsidRPr="00000000" w14:paraId="0000003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AI's most promising role is not in destruction, but in restoration. By funding and prioritizing open-source and beneficent projects, the United States can lead not just in AI capability but in AI ethics.</w:t>
      </w:r>
    </w:p>
    <w:p w:rsidR="00000000" w:rsidDel="00000000" w:rsidP="00000000" w:rsidRDefault="00000000" w:rsidRPr="00000000" w14:paraId="00000034">
      <w:pPr>
        <w:pStyle w:val="Heading3"/>
        <w:keepNext w:val="0"/>
        <w:keepLines w:val="0"/>
        <w:spacing w:after="80" w:before="280" w:line="480" w:lineRule="auto"/>
        <w:rPr>
          <w:rFonts w:ascii="Times New Roman" w:cs="Times New Roman" w:eastAsia="Times New Roman" w:hAnsi="Times New Roman"/>
          <w:color w:val="000000"/>
        </w:rPr>
      </w:pPr>
      <w:bookmarkStart w:colFirst="0" w:colLast="0" w:name="_heading=h.4ljb5ucrh0m6" w:id="2"/>
      <w:bookmarkEnd w:id="2"/>
      <w:r w:rsidDel="00000000" w:rsidR="00000000" w:rsidRPr="00000000">
        <w:rPr>
          <w:rFonts w:ascii="Times New Roman" w:cs="Times New Roman" w:eastAsia="Times New Roman" w:hAnsi="Times New Roman"/>
          <w:color w:val="000000"/>
          <w:rtl w:val="0"/>
        </w:rPr>
        <w:t xml:space="preserve">Autonomy Without Oversight: Clarifying the Present Risk</w:t>
      </w:r>
    </w:p>
    <w:p w:rsidR="00000000" w:rsidDel="00000000" w:rsidP="00000000" w:rsidRDefault="00000000" w:rsidRPr="00000000" w14:paraId="0000003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artificial general intelligence (AGI) is still in development, lethal autonomy already exists through narrow AI systems that operate on real-world battlefields. These systems are capable of identifying, tracking, and attacking targets without human approval at the final decision point.</w:t>
      </w:r>
    </w:p>
    <w:p w:rsidR="00000000" w:rsidDel="00000000" w:rsidP="00000000" w:rsidRDefault="00000000" w:rsidRPr="00000000" w14:paraId="0000003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w:t>
      </w:r>
    </w:p>
    <w:p w:rsidR="00000000" w:rsidDel="00000000" w:rsidP="00000000" w:rsidRDefault="00000000" w:rsidRPr="00000000" w14:paraId="00000037">
      <w:pPr>
        <w:numPr>
          <w:ilvl w:val="0"/>
          <w:numId w:val="3"/>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Kargu-2 loitering munition from Turkey has been reported to independently locate and engage human targets using facial recognition and onboard AI (United Nations Security Council, 2021).</w:t>
      </w:r>
    </w:p>
    <w:p w:rsidR="00000000" w:rsidDel="00000000" w:rsidP="00000000" w:rsidRDefault="00000000" w:rsidRPr="00000000" w14:paraId="00000038">
      <w:pPr>
        <w:numPr>
          <w:ilvl w:val="0"/>
          <w:numId w:val="3"/>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Israeli Harpy and Harop drones are designed to autonomously patrol for radar signals and self-destruct on impact without human intervention (The Indian Express, 2024). </w:t>
      </w:r>
    </w:p>
    <w:p w:rsidR="00000000" w:rsidDel="00000000" w:rsidP="00000000" w:rsidRDefault="00000000" w:rsidRPr="00000000" w14:paraId="00000039">
      <w:pPr>
        <w:numPr>
          <w:ilvl w:val="0"/>
          <w:numId w:val="3"/>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Loitering drones used in Ukraine have demonstrated targeting issues in adverse weather and urban environments (Armada International, 2024).</w:t>
      </w:r>
    </w:p>
    <w:p w:rsidR="00000000" w:rsidDel="00000000" w:rsidP="00000000" w:rsidRDefault="00000000" w:rsidRPr="00000000" w14:paraId="0000003A">
      <w:pPr>
        <w:numPr>
          <w:ilvl w:val="0"/>
          <w:numId w:val="3"/>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Russian ZALA Lancet drone has been used in Ukraine to autonomously strike armored targets using visual AI classification (Task &amp; Purpose, 2018).</w:t>
      </w:r>
    </w:p>
    <w:p w:rsidR="00000000" w:rsidDel="00000000" w:rsidP="00000000" w:rsidRDefault="00000000" w:rsidRPr="00000000" w14:paraId="0000003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are narrow AI systems, meaning they are trained to perform specific tasks such as object recognition or pattern matching. However, their ability to carry out lethal strikes without human review introduces significant ethical and security concerns.</w:t>
      </w:r>
    </w:p>
    <w:p w:rsidR="00000000" w:rsidDel="00000000" w:rsidP="00000000" w:rsidRDefault="00000000" w:rsidRPr="00000000" w14:paraId="0000003C">
      <w:pPr>
        <w:spacing w:after="240" w:before="240"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240" w:before="240"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phrase "autonomy without oversight" refers to the growing deployment of AI-enabled weapon systems that can initiate lethal force without meaningful real-time human supervision. This includes:</w:t>
      </w:r>
    </w:p>
    <w:p w:rsidR="00000000" w:rsidDel="00000000" w:rsidP="00000000" w:rsidRDefault="00000000" w:rsidRPr="00000000" w14:paraId="0000003F">
      <w:pPr>
        <w:numPr>
          <w:ilvl w:val="0"/>
          <w:numId w:val="7"/>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Weapons that select and engage targets without a person confirming or authorizing the strike.</w:t>
        <w:br w:type="textWrapping"/>
      </w:r>
    </w:p>
    <w:p w:rsidR="00000000" w:rsidDel="00000000" w:rsidP="00000000" w:rsidRDefault="00000000" w:rsidRPr="00000000" w14:paraId="00000040">
      <w:pPr>
        <w:numPr>
          <w:ilvl w:val="0"/>
          <w:numId w:val="7"/>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systems that rely on probabilistic inferences from sensor data to make life-and-death decisions.</w:t>
        <w:br w:type="textWrapping"/>
      </w:r>
    </w:p>
    <w:p w:rsidR="00000000" w:rsidDel="00000000" w:rsidP="00000000" w:rsidRDefault="00000000" w:rsidRPr="00000000" w14:paraId="00000041">
      <w:pPr>
        <w:numPr>
          <w:ilvl w:val="0"/>
          <w:numId w:val="7"/>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Combat platforms that operate on pre-programmed engagement criteria with no accountability structure for how targets are chosen.</w:t>
      </w:r>
    </w:p>
    <w:p w:rsidR="00000000" w:rsidDel="00000000" w:rsidP="00000000" w:rsidRDefault="00000000" w:rsidRPr="00000000" w14:paraId="0000004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danger increases significantly once these systems are paired with AGI. Unlike narrow AI, AGI could interpret mission objectives broadly, adapt to unforeseen scenarios, and develop new strategies that humans cannot anticipate or fully control. When combined with lethal autonomy, AGI could create battlefield agents that escalate conflict, misinterpret intentions, or act in ways that violate international law without clear lines of responsibility.</w:t>
      </w:r>
    </w:p>
    <w:p w:rsidR="00000000" w:rsidDel="00000000" w:rsidP="00000000" w:rsidRDefault="00000000" w:rsidRPr="00000000" w14:paraId="0000004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address these risks, this proposal recommends that policymakers:</w:t>
      </w:r>
    </w:p>
    <w:p w:rsidR="00000000" w:rsidDel="00000000" w:rsidP="00000000" w:rsidRDefault="00000000" w:rsidRPr="00000000" w14:paraId="00000044">
      <w:pPr>
        <w:numPr>
          <w:ilvl w:val="0"/>
          <w:numId w:val="8"/>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Acknowledge the current existence of autonomous weapons capable of lethal engagement without human authorization.</w:t>
        <w:br w:type="textWrapping"/>
      </w:r>
    </w:p>
    <w:p w:rsidR="00000000" w:rsidDel="00000000" w:rsidP="00000000" w:rsidRDefault="00000000" w:rsidRPr="00000000" w14:paraId="00000045">
      <w:pPr>
        <w:numPr>
          <w:ilvl w:val="0"/>
          <w:numId w:val="8"/>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 binding definitions and regulatory frameworks that distinguish between AI-assisted weapons and fully autonomous lethal systems.</w:t>
        <w:br w:type="textWrapping"/>
      </w:r>
    </w:p>
    <w:p w:rsidR="00000000" w:rsidDel="00000000" w:rsidP="00000000" w:rsidRDefault="00000000" w:rsidRPr="00000000" w14:paraId="00000046">
      <w:pPr>
        <w:numPr>
          <w:ilvl w:val="0"/>
          <w:numId w:val="8"/>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 human approval for all final lethal decisions, and embed cryptographically secure logs to verify accountability.</w:t>
        <w:br w:type="textWrapping"/>
      </w:r>
    </w:p>
    <w:p w:rsidR="00000000" w:rsidDel="00000000" w:rsidP="00000000" w:rsidRDefault="00000000" w:rsidRPr="00000000" w14:paraId="00000047">
      <w:pPr>
        <w:numPr>
          <w:ilvl w:val="0"/>
          <w:numId w:val="8"/>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 the potential convergence of AGI and lethal autonomy as an urgent national and international security issue.</w:t>
        <w:br w:type="textWrapping"/>
      </w:r>
    </w:p>
    <w:p w:rsidR="00000000" w:rsidDel="00000000" w:rsidP="00000000" w:rsidRDefault="00000000" w:rsidRPr="00000000" w14:paraId="0000004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Preventing autonomy without oversight is not a future problem. It is a present challenge that demands immediate safeguards before more advanced AI systems are integrated into weapons platforms (Cave &amp; Dignum, 2019).</w:t>
      </w:r>
    </w:p>
    <w:p w:rsidR="00000000" w:rsidDel="00000000" w:rsidP="00000000" w:rsidRDefault="00000000" w:rsidRPr="00000000" w14:paraId="00000049">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Existing U.S. Defense Frameworks: Team LIMA and DoD Directive 3000.09</w:t>
      </w:r>
    </w:p>
    <w:p w:rsidR="00000000" w:rsidDel="00000000" w:rsidP="00000000" w:rsidRDefault="00000000" w:rsidRPr="00000000" w14:paraId="0000004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this proposal calls for new oversight teams and civilian safety protocols, it is important to recognize the foundations already established within the Department of Defense. Notably:</w:t>
      </w:r>
    </w:p>
    <w:p w:rsidR="00000000" w:rsidDel="00000000" w:rsidP="00000000" w:rsidRDefault="00000000" w:rsidRPr="00000000" w14:paraId="0000004B">
      <w:pPr>
        <w:numPr>
          <w:ilvl w:val="0"/>
          <w:numId w:val="2"/>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LIMA (Leading Integration for Mission Autonomy) was created to guide the ethical and operational integration of autonomous technologies across U.S. defense missions. Its work focuses on developing interoperability standards, promoting responsible autonomy, and ensuring mission readiness. However, its scope remains largely internal to defense systems and does not extend to public-facing AI vessels or oversight in non-military spaces (Center for Strategic and International Studies, 2023). </w:t>
        <w:br w:type="textWrapping"/>
      </w:r>
    </w:p>
    <w:p w:rsidR="00000000" w:rsidDel="00000000" w:rsidP="00000000" w:rsidRDefault="00000000" w:rsidRPr="00000000" w14:paraId="0000004C">
      <w:pPr>
        <w:numPr>
          <w:ilvl w:val="0"/>
          <w:numId w:val="2"/>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DoD Directive 3000.09 outlines policy on autonomous and semi-autonomous weapon systems. It requires that any autonomous weapon system must allow for appropriate levels of human judgment over the use of force. While this directive sets an important precedent, it lacks enforceable public auditing standards, does not apply to non-lethal physical systems, and does not establish independent civilian review panels (U.S. Department of Defense, 2023).</w:t>
        <w:br w:type="textWrapping"/>
      </w:r>
    </w:p>
    <w:p w:rsidR="00000000" w:rsidDel="00000000" w:rsidP="00000000" w:rsidRDefault="00000000" w:rsidRPr="00000000" w14:paraId="0000004D">
      <w:pPr>
        <w:spacing w:after="240" w:before="240"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proposal builds on the ethical spirit of these existing directives but fills critical gaps by:</w:t>
      </w:r>
    </w:p>
    <w:p w:rsidR="00000000" w:rsidDel="00000000" w:rsidP="00000000" w:rsidRDefault="00000000" w:rsidRPr="00000000" w14:paraId="0000004F">
      <w:pPr>
        <w:numPr>
          <w:ilvl w:val="0"/>
          <w:numId w:val="6"/>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Extending oversight beyond internal defense structures</w:t>
        <w:br w:type="textWrapping"/>
      </w:r>
    </w:p>
    <w:p w:rsidR="00000000" w:rsidDel="00000000" w:rsidP="00000000" w:rsidRDefault="00000000" w:rsidRPr="00000000" w14:paraId="00000050">
      <w:pPr>
        <w:numPr>
          <w:ilvl w:val="0"/>
          <w:numId w:val="6"/>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Creating publicly accountable teams capable of acting on anomalies or unsafe behavior in both military and civilian autonomous systems</w:t>
        <w:br w:type="textWrapping"/>
      </w:r>
    </w:p>
    <w:p w:rsidR="00000000" w:rsidDel="00000000" w:rsidP="00000000" w:rsidRDefault="00000000" w:rsidRPr="00000000" w14:paraId="00000051">
      <w:pPr>
        <w:numPr>
          <w:ilvl w:val="0"/>
          <w:numId w:val="6"/>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Prioritizing psychological and perceptual safety alongside physical risk mitigation</w:t>
        <w:br w:type="textWrapping"/>
      </w:r>
    </w:p>
    <w:p w:rsidR="00000000" w:rsidDel="00000000" w:rsidP="00000000" w:rsidRDefault="00000000" w:rsidRPr="00000000" w14:paraId="0000005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work in commercial AI has shown that external audits and public accountability can meaningfully reduce systemic bias (Raji &amp; Buolamwini, 2019). By supporting complementary oversight mechanisms like APHOSTs and HPHUs, policymakers can strengthen the nation’s resilience to emerging AI threats while preserving the integrity of existing defense doctrine.</w:t>
      </w:r>
    </w:p>
    <w:p w:rsidR="00000000" w:rsidDel="00000000" w:rsidP="00000000" w:rsidRDefault="00000000" w:rsidRPr="00000000" w14:paraId="00000053">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Closing Note</w:t>
      </w:r>
      <w:r w:rsidDel="00000000" w:rsidR="00000000" w:rsidRPr="00000000">
        <w:rPr>
          <w:rFonts w:ascii="Times New Roman" w:cs="Times New Roman" w:eastAsia="Times New Roman" w:hAnsi="Times New Roman"/>
          <w:rtl w:val="0"/>
        </w:rPr>
        <w:br w:type="textWrapping"/>
        <w:t xml:space="preserve"> I submit this proposal not as an expert, but as a recent graduate with a Master of Science in Clinical Rehabilitation Counseling. I have a personal and professional interest in the development of AI technologies that promote human safety and well-being. My goal is to make a meaningful contribution to the national conversation on AI oversight and to encourage the development of safeguards that benefit both current and future generations.</w:t>
      </w:r>
    </w:p>
    <w:p w:rsidR="00000000" w:rsidDel="00000000" w:rsidP="00000000" w:rsidRDefault="00000000" w:rsidRPr="00000000" w14:paraId="0000005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welcome the opportunity to speak further about these proposals, refine them through dialogue, or support their implementation in collaboration with stakeholders across the public and private sectors.</w:t>
      </w:r>
    </w:p>
    <w:p w:rsidR="00000000" w:rsidDel="00000000" w:rsidP="00000000" w:rsidRDefault="00000000" w:rsidRPr="00000000" w14:paraId="0000005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consideration.</w:t>
      </w:r>
    </w:p>
    <w:p w:rsidR="00000000" w:rsidDel="00000000" w:rsidP="00000000" w:rsidRDefault="00000000" w:rsidRPr="00000000" w14:paraId="0000005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br w:type="textWrapping"/>
        <w:t xml:space="preserve"> Luis Vasquez</w:t>
        <w:br w:type="textWrapping"/>
        <w:t xml:space="preserve"> Clinical Rehabilitation Counseling M.S.</w:t>
      </w:r>
    </w:p>
    <w:p w:rsidR="00000000" w:rsidDel="00000000" w:rsidP="00000000" w:rsidRDefault="00000000" w:rsidRPr="00000000" w14:paraId="0000005A">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after="240" w:before="240"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pacing w:after="240" w:before="24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spacing w:after="240" w:before="24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spacing w:after="240" w:before="240" w:line="480" w:lineRule="auto"/>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Bibliography</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62">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 Allen, G. C., Strasser, A., &amp; Warner, J. (2022). </w:t>
      </w:r>
      <w:r w:rsidDel="00000000" w:rsidR="00000000" w:rsidRPr="00000000">
        <w:rPr>
          <w:rFonts w:ascii="Times New Roman" w:cs="Times New Roman" w:eastAsia="Times New Roman" w:hAnsi="Times New Roman"/>
          <w:i w:val="1"/>
          <w:rtl w:val="0"/>
        </w:rPr>
        <w:t xml:space="preserve">Understanding AI‑related accidents</w:t>
      </w:r>
      <w:r w:rsidDel="00000000" w:rsidR="00000000" w:rsidRPr="00000000">
        <w:rPr>
          <w:rFonts w:ascii="Times New Roman" w:cs="Times New Roman" w:eastAsia="Times New Roman" w:hAnsi="Times New Roman"/>
          <w:rtl w:val="0"/>
        </w:rPr>
        <w:t xml:space="preserve">. Center for a New American Security.</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https://www.cnas.org/publications/reports/understanding-ai-related-accidents</w:t>
        </w:r>
      </w:hyperlink>
      <w:r w:rsidDel="00000000" w:rsidR="00000000" w:rsidRPr="00000000">
        <w:rPr>
          <w:rtl w:val="0"/>
        </w:rPr>
      </w:r>
    </w:p>
    <w:p w:rsidR="00000000" w:rsidDel="00000000" w:rsidP="00000000" w:rsidRDefault="00000000" w:rsidRPr="00000000" w14:paraId="00000063">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Armada International. (2024). </w:t>
      </w:r>
      <w:r w:rsidDel="00000000" w:rsidR="00000000" w:rsidRPr="00000000">
        <w:rPr>
          <w:rFonts w:ascii="Times New Roman" w:cs="Times New Roman" w:eastAsia="Times New Roman" w:hAnsi="Times New Roman"/>
          <w:i w:val="1"/>
          <w:rtl w:val="0"/>
        </w:rPr>
        <w:t xml:space="preserve">Weapons that watch and wait: Loitering munitions in Ukraine</w:t>
      </w:r>
      <w:r w:rsidDel="00000000" w:rsidR="00000000" w:rsidRPr="00000000">
        <w:rPr>
          <w:rFonts w:ascii="Times New Roman" w:cs="Times New Roman" w:eastAsia="Times New Roman" w:hAnsi="Times New Roman"/>
          <w:rtl w:val="0"/>
        </w:rPr>
        <w:t xml:space="preserve">.</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https://www.armadainternational.com/2024/09/weapons-that-watch-and-wait/</w:t>
        </w:r>
      </w:hyperlink>
      <w:r w:rsidDel="00000000" w:rsidR="00000000" w:rsidRPr="00000000">
        <w:rPr>
          <w:rtl w:val="0"/>
        </w:rPr>
      </w:r>
    </w:p>
    <w:p w:rsidR="00000000" w:rsidDel="00000000" w:rsidP="00000000" w:rsidRDefault="00000000" w:rsidRPr="00000000" w14:paraId="00000064">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Cave, S., &amp; Dignum, V. (2019). Algorithms and accountability in military decision‑making. In </w:t>
      </w:r>
      <w:r w:rsidDel="00000000" w:rsidR="00000000" w:rsidRPr="00000000">
        <w:rPr>
          <w:rFonts w:ascii="Times New Roman" w:cs="Times New Roman" w:eastAsia="Times New Roman" w:hAnsi="Times New Roman"/>
          <w:i w:val="1"/>
          <w:rtl w:val="0"/>
        </w:rPr>
        <w:t xml:space="preserve">Proceedings of the 2019 AAAI/ACM Conference on AI, Ethics, and Society</w:t>
      </w:r>
      <w:r w:rsidDel="00000000" w:rsidR="00000000" w:rsidRPr="00000000">
        <w:rPr>
          <w:rFonts w:ascii="Times New Roman" w:cs="Times New Roman" w:eastAsia="Times New Roman" w:hAnsi="Times New Roman"/>
          <w:rtl w:val="0"/>
        </w:rPr>
        <w:t xml:space="preserve"> (pp. 48–54).</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https://doi.org/10.1145/3306618.3314281</w:t>
        </w:r>
      </w:hyperlink>
      <w:r w:rsidDel="00000000" w:rsidR="00000000" w:rsidRPr="00000000">
        <w:rPr>
          <w:rtl w:val="0"/>
        </w:rPr>
      </w:r>
    </w:p>
    <w:p w:rsidR="00000000" w:rsidDel="00000000" w:rsidP="00000000" w:rsidRDefault="00000000" w:rsidRPr="00000000" w14:paraId="00000065">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Center for Strategic and International Studies. (2023). </w:t>
      </w:r>
      <w:r w:rsidDel="00000000" w:rsidR="00000000" w:rsidRPr="00000000">
        <w:rPr>
          <w:rFonts w:ascii="Times New Roman" w:cs="Times New Roman" w:eastAsia="Times New Roman" w:hAnsi="Times New Roman"/>
          <w:i w:val="1"/>
          <w:rtl w:val="0"/>
        </w:rPr>
        <w:t xml:space="preserve">Six questions every DoD AI and autonomy program manager needs to be prepared to answer</w:t>
      </w:r>
      <w:r w:rsidDel="00000000" w:rsidR="00000000" w:rsidRPr="00000000">
        <w:rPr>
          <w:rFonts w:ascii="Times New Roman" w:cs="Times New Roman" w:eastAsia="Times New Roman" w:hAnsi="Times New Roman"/>
          <w:rtl w:val="0"/>
        </w:rPr>
        <w:t xml:space="preserve">. https://www.csis.org/analysis/six-questions-every-dod-ai-and-autonomy-program-manager-needs-be-prepared-answer</w:t>
      </w:r>
    </w:p>
    <w:p w:rsidR="00000000" w:rsidDel="00000000" w:rsidP="00000000" w:rsidRDefault="00000000" w:rsidRPr="00000000" w14:paraId="00000066">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International Committee of the Red Cross. (2021). </w:t>
      </w:r>
      <w:r w:rsidDel="00000000" w:rsidR="00000000" w:rsidRPr="00000000">
        <w:rPr>
          <w:rFonts w:ascii="Times New Roman" w:cs="Times New Roman" w:eastAsia="Times New Roman" w:hAnsi="Times New Roman"/>
          <w:i w:val="1"/>
          <w:rtl w:val="0"/>
        </w:rPr>
        <w:t xml:space="preserve">Position on autonomous weapon systems</w:t>
      </w:r>
      <w:r w:rsidDel="00000000" w:rsidR="00000000" w:rsidRPr="00000000">
        <w:rPr>
          <w:rFonts w:ascii="Times New Roman" w:cs="Times New Roman" w:eastAsia="Times New Roman" w:hAnsi="Times New Roman"/>
          <w:rtl w:val="0"/>
        </w:rPr>
        <w:t xml:space="preserve">.</w:t>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u w:val="single"/>
            <w:rtl w:val="0"/>
          </w:rPr>
          <w:t xml:space="preserve">https://www.icrc.org/en/document/icrc-position-autonomous-weapon-systems</w:t>
        </w:r>
      </w:hyperlink>
      <w:r w:rsidDel="00000000" w:rsidR="00000000" w:rsidRPr="00000000">
        <w:rPr>
          <w:rtl w:val="0"/>
        </w:rPr>
      </w:r>
    </w:p>
    <w:p w:rsidR="00000000" w:rsidDel="00000000" w:rsidP="00000000" w:rsidRDefault="00000000" w:rsidRPr="00000000" w14:paraId="00000067">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Raji, I. D., &amp; Buolamwini, J. (2019). Actionable auditing: Investigating the impact of publicly naming biased performance results of commercial AI products. </w:t>
      </w:r>
      <w:r w:rsidDel="00000000" w:rsidR="00000000" w:rsidRPr="00000000">
        <w:rPr>
          <w:rFonts w:ascii="Times New Roman" w:cs="Times New Roman" w:eastAsia="Times New Roman" w:hAnsi="Times New Roman"/>
          <w:i w:val="1"/>
          <w:rtl w:val="0"/>
        </w:rPr>
        <w:t xml:space="preserve">Proceedings of the AAAI/ACM Conference on AI, Ethics, and Society</w:t>
      </w:r>
      <w:r w:rsidDel="00000000" w:rsidR="00000000" w:rsidRPr="00000000">
        <w:rPr>
          <w:rFonts w:ascii="Times New Roman" w:cs="Times New Roman" w:eastAsia="Times New Roman" w:hAnsi="Times New Roman"/>
          <w:rtl w:val="0"/>
        </w:rPr>
        <w:t xml:space="preserve">, 1–10.</w:t>
      </w:r>
    </w:p>
    <w:p w:rsidR="00000000" w:rsidDel="00000000" w:rsidP="00000000" w:rsidRDefault="00000000" w:rsidRPr="00000000" w14:paraId="00000068">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Spiegel, D. P., et al. (2021). Virtual reality and mental health: A review of current literature and future directions. </w:t>
      </w:r>
      <w:r w:rsidDel="00000000" w:rsidR="00000000" w:rsidRPr="00000000">
        <w:rPr>
          <w:rFonts w:ascii="Times New Roman" w:cs="Times New Roman" w:eastAsia="Times New Roman" w:hAnsi="Times New Roman"/>
          <w:i w:val="1"/>
          <w:rtl w:val="0"/>
        </w:rPr>
        <w:t xml:space="preserve">Frontiers in Psychiatry, 12</w:t>
      </w:r>
      <w:r w:rsidDel="00000000" w:rsidR="00000000" w:rsidRPr="00000000">
        <w:rPr>
          <w:rFonts w:ascii="Times New Roman" w:cs="Times New Roman" w:eastAsia="Times New Roman" w:hAnsi="Times New Roman"/>
          <w:rtl w:val="0"/>
        </w:rPr>
        <w:t xml:space="preserve">, Article 748211. https://doi.org/10.3389/fpsyt.2021.748211</w:t>
      </w:r>
    </w:p>
    <w:p w:rsidR="00000000" w:rsidDel="00000000" w:rsidP="00000000" w:rsidRDefault="00000000" w:rsidRPr="00000000" w14:paraId="00000069">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Task &amp; Purpose. (2018). </w:t>
      </w:r>
      <w:r w:rsidDel="00000000" w:rsidR="00000000" w:rsidRPr="00000000">
        <w:rPr>
          <w:rFonts w:ascii="Times New Roman" w:cs="Times New Roman" w:eastAsia="Times New Roman" w:hAnsi="Times New Roman"/>
          <w:i w:val="1"/>
          <w:rtl w:val="0"/>
        </w:rPr>
        <w:t xml:space="preserve">Russia’s Uran‑9 robot tank was a total disaster in Syria</w:t>
      </w:r>
      <w:r w:rsidDel="00000000" w:rsidR="00000000" w:rsidRPr="00000000">
        <w:rPr>
          <w:rFonts w:ascii="Times New Roman" w:cs="Times New Roman" w:eastAsia="Times New Roman" w:hAnsi="Times New Roman"/>
          <w:rtl w:val="0"/>
        </w:rPr>
        <w:t xml:space="preserve">.</w:t>
      </w:r>
      <w:hyperlink r:id="rId15">
        <w:r w:rsidDel="00000000" w:rsidR="00000000" w:rsidRPr="00000000">
          <w:rPr>
            <w:rFonts w:ascii="Times New Roman" w:cs="Times New Roman" w:eastAsia="Times New Roman" w:hAnsi="Times New Roman"/>
            <w:rtl w:val="0"/>
          </w:rPr>
          <w:t xml:space="preserve"> </w:t>
        </w:r>
      </w:hyperlink>
      <w:hyperlink r:id="rId16">
        <w:r w:rsidDel="00000000" w:rsidR="00000000" w:rsidRPr="00000000">
          <w:rPr>
            <w:rFonts w:ascii="Times New Roman" w:cs="Times New Roman" w:eastAsia="Times New Roman" w:hAnsi="Times New Roman"/>
            <w:color w:val="1155cc"/>
            <w:u w:val="single"/>
            <w:rtl w:val="0"/>
          </w:rPr>
          <w:t xml:space="preserve">https://taskandpurpose.com/news/russia-uran-9-robot-tank-problems/</w:t>
        </w:r>
      </w:hyperlink>
      <w:r w:rsidDel="00000000" w:rsidR="00000000" w:rsidRPr="00000000">
        <w:rPr>
          <w:rtl w:val="0"/>
        </w:rPr>
      </w:r>
    </w:p>
    <w:p w:rsidR="00000000" w:rsidDel="00000000" w:rsidP="00000000" w:rsidRDefault="00000000" w:rsidRPr="00000000" w14:paraId="0000006A">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Indian Express. (2024). </w:t>
      </w:r>
      <w:r w:rsidDel="00000000" w:rsidR="00000000" w:rsidRPr="00000000">
        <w:rPr>
          <w:rFonts w:ascii="Times New Roman" w:cs="Times New Roman" w:eastAsia="Times New Roman" w:hAnsi="Times New Roman"/>
          <w:i w:val="1"/>
          <w:rtl w:val="0"/>
        </w:rPr>
        <w:t xml:space="preserve">Harop: Inside India’s loitering drone capability</w:t>
      </w:r>
      <w:r w:rsidDel="00000000" w:rsidR="00000000" w:rsidRPr="00000000">
        <w:rPr>
          <w:rFonts w:ascii="Times New Roman" w:cs="Times New Roman" w:eastAsia="Times New Roman" w:hAnsi="Times New Roman"/>
          <w:rtl w:val="0"/>
        </w:rPr>
        <w:t xml:space="preserve">. https://indianexpress.com/article/explained/harop-india-pakistan-operation-sindoor-capabilities-9991081/</w:t>
      </w:r>
    </w:p>
    <w:p w:rsidR="00000000" w:rsidDel="00000000" w:rsidP="00000000" w:rsidRDefault="00000000" w:rsidRPr="00000000" w14:paraId="0000006B">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Security Council. (2021). </w:t>
      </w:r>
      <w:r w:rsidDel="00000000" w:rsidR="00000000" w:rsidRPr="00000000">
        <w:rPr>
          <w:rFonts w:ascii="Times New Roman" w:cs="Times New Roman" w:eastAsia="Times New Roman" w:hAnsi="Times New Roman"/>
          <w:i w:val="1"/>
          <w:rtl w:val="0"/>
        </w:rPr>
        <w:t xml:space="preserve">Final report of the Panel of Experts on Libya submitted in accordance with resolution 1973 (2011)</w:t>
      </w:r>
      <w:r w:rsidDel="00000000" w:rsidR="00000000" w:rsidRPr="00000000">
        <w:rPr>
          <w:rFonts w:ascii="Times New Roman" w:cs="Times New Roman" w:eastAsia="Times New Roman" w:hAnsi="Times New Roman"/>
          <w:rtl w:val="0"/>
        </w:rPr>
        <w:t xml:space="preserve">. https://undocs.org/S/2021/229</w:t>
      </w:r>
    </w:p>
    <w:p w:rsidR="00000000" w:rsidDel="00000000" w:rsidP="00000000" w:rsidRDefault="00000000" w:rsidRPr="00000000" w14:paraId="0000006C">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U.S. Department of Defense. (2023). </w:t>
      </w:r>
      <w:r w:rsidDel="00000000" w:rsidR="00000000" w:rsidRPr="00000000">
        <w:rPr>
          <w:rFonts w:ascii="Times New Roman" w:cs="Times New Roman" w:eastAsia="Times New Roman" w:hAnsi="Times New Roman"/>
          <w:i w:val="1"/>
          <w:rtl w:val="0"/>
        </w:rPr>
        <w:t xml:space="preserve">Directive 3000.09: Autonomy in weapon systems</w:t>
      </w:r>
      <w:r w:rsidDel="00000000" w:rsidR="00000000" w:rsidRPr="00000000">
        <w:rPr>
          <w:rFonts w:ascii="Times New Roman" w:cs="Times New Roman" w:eastAsia="Times New Roman" w:hAnsi="Times New Roman"/>
          <w:rtl w:val="0"/>
        </w:rPr>
        <w:t xml:space="preserve">.</w:t>
      </w:r>
      <w:hyperlink r:id="rId17">
        <w:r w:rsidDel="00000000" w:rsidR="00000000" w:rsidRPr="00000000">
          <w:rPr>
            <w:rFonts w:ascii="Times New Roman" w:cs="Times New Roman" w:eastAsia="Times New Roman" w:hAnsi="Times New Roman"/>
            <w:rtl w:val="0"/>
          </w:rPr>
          <w:t xml:space="preserve"> </w:t>
        </w:r>
      </w:hyperlink>
      <w:hyperlink r:id="rId18">
        <w:r w:rsidDel="00000000" w:rsidR="00000000" w:rsidRPr="00000000">
          <w:rPr>
            <w:rFonts w:ascii="Times New Roman" w:cs="Times New Roman" w:eastAsia="Times New Roman" w:hAnsi="Times New Roman"/>
            <w:color w:val="1155cc"/>
            <w:u w:val="single"/>
            <w:rtl w:val="0"/>
          </w:rPr>
          <w:t xml:space="preserve">https://www.esd.whs.mil/DD/</w:t>
        </w:r>
      </w:hyperlink>
      <w:r w:rsidDel="00000000" w:rsidR="00000000" w:rsidRPr="00000000">
        <w:rPr>
          <w:rtl w:val="0"/>
        </w:rPr>
      </w:r>
    </w:p>
    <w:p w:rsidR="00000000" w:rsidDel="00000000" w:rsidP="00000000" w:rsidRDefault="00000000" w:rsidRPr="00000000" w14:paraId="0000006D">
      <w:pPr>
        <w:spacing w:after="240" w:before="240" w:line="480" w:lineRule="auto"/>
        <w:ind w:left="72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U.S. Government Accountability Office. (2024). </w:t>
      </w:r>
      <w:r w:rsidDel="00000000" w:rsidR="00000000" w:rsidRPr="00000000">
        <w:rPr>
          <w:rFonts w:ascii="Times New Roman" w:cs="Times New Roman" w:eastAsia="Times New Roman" w:hAnsi="Times New Roman"/>
          <w:i w:val="1"/>
          <w:rtl w:val="0"/>
        </w:rPr>
        <w:t xml:space="preserve">Commercial autonomous ships: Emerging technologies pose new safety and regulatory challenges</w:t>
      </w:r>
      <w:r w:rsidDel="00000000" w:rsidR="00000000" w:rsidRPr="00000000">
        <w:rPr>
          <w:rFonts w:ascii="Times New Roman" w:cs="Times New Roman" w:eastAsia="Times New Roman" w:hAnsi="Times New Roman"/>
          <w:rtl w:val="0"/>
        </w:rPr>
        <w:t xml:space="preserve"> (GAO‑24‑107059).</w:t>
      </w:r>
      <w:hyperlink r:id="rId19">
        <w:r w:rsidDel="00000000" w:rsidR="00000000" w:rsidRPr="00000000">
          <w:rPr>
            <w:rFonts w:ascii="Times New Roman" w:cs="Times New Roman" w:eastAsia="Times New Roman" w:hAnsi="Times New Roman"/>
            <w:rtl w:val="0"/>
          </w:rPr>
          <w:t xml:space="preserve"> </w:t>
        </w:r>
      </w:hyperlink>
      <w:hyperlink r:id="rId20">
        <w:r w:rsidDel="00000000" w:rsidR="00000000" w:rsidRPr="00000000">
          <w:rPr>
            <w:rFonts w:ascii="Times New Roman" w:cs="Times New Roman" w:eastAsia="Times New Roman" w:hAnsi="Times New Roman"/>
            <w:color w:val="1155cc"/>
            <w:u w:val="single"/>
            <w:rtl w:val="0"/>
          </w:rPr>
          <w:t xml:space="preserve">https://www.gao.gov/products/gao-24-107059</w:t>
        </w:r>
      </w:hyperlink>
      <w:r w:rsidDel="00000000" w:rsidR="00000000" w:rsidRPr="00000000">
        <w:rPr>
          <w:rtl w:val="0"/>
        </w:rPr>
      </w:r>
    </w:p>
    <w:p w:rsidR="00000000" w:rsidDel="00000000" w:rsidP="00000000" w:rsidRDefault="00000000" w:rsidRPr="00000000" w14:paraId="0000006E">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Vincent, J. (2023, March 14). ChatGPT and the hallucination problem. </w:t>
      </w:r>
      <w:r w:rsidDel="00000000" w:rsidR="00000000" w:rsidRPr="00000000">
        <w:rPr>
          <w:rFonts w:ascii="Times New Roman" w:cs="Times New Roman" w:eastAsia="Times New Roman" w:hAnsi="Times New Roman"/>
          <w:i w:val="1"/>
          <w:rtl w:val="0"/>
        </w:rPr>
        <w:t xml:space="preserve">The Verge</w:t>
      </w:r>
      <w:r w:rsidDel="00000000" w:rsidR="00000000" w:rsidRPr="00000000">
        <w:rPr>
          <w:rFonts w:ascii="Times New Roman" w:cs="Times New Roman" w:eastAsia="Times New Roman" w:hAnsi="Times New Roman"/>
          <w:rtl w:val="0"/>
        </w:rPr>
        <w:t xml:space="preserve">. https://www.theverge.com/2023/3/14/1069944/chatgpt-ai-hallucination-misinformation</w:t>
      </w:r>
    </w:p>
    <w:p w:rsidR="00000000" w:rsidDel="00000000" w:rsidP="00000000" w:rsidRDefault="00000000" w:rsidRPr="00000000" w14:paraId="0000006F">
      <w:pPr>
        <w:spacing w:after="240" w:before="240" w:line="48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240" w:before="240" w:line="480" w:lineRule="auto"/>
        <w:rPr>
          <w:rFonts w:ascii="Times New Roman" w:cs="Times New Roman" w:eastAsia="Times New Roman" w:hAnsi="Times New Roman"/>
        </w:rPr>
      </w:pPr>
      <w:r w:rsidDel="00000000" w:rsidR="00000000" w:rsidRPr="00000000">
        <w:rPr>
          <w:rtl w:val="0"/>
        </w:rPr>
      </w:r>
    </w:p>
    <w:sectPr>
      <w:headerReference r:id="rId21"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ao.gov/products/gao-24-107059" TargetMode="External"/><Relationship Id="rId11" Type="http://schemas.openxmlformats.org/officeDocument/2006/relationships/hyperlink" Target="https://doi.org/10.1145/3306618.3314281" TargetMode="External"/><Relationship Id="rId10" Type="http://schemas.openxmlformats.org/officeDocument/2006/relationships/hyperlink" Target="https://www.armadainternational.com/2024/09/weapons-that-watch-and-wait/" TargetMode="External"/><Relationship Id="rId21" Type="http://schemas.openxmlformats.org/officeDocument/2006/relationships/header" Target="header1.xml"/><Relationship Id="rId13" Type="http://schemas.openxmlformats.org/officeDocument/2006/relationships/hyperlink" Target="https://www.icrc.org/en/document/icrc-position-autonomous-weapon-systems" TargetMode="External"/><Relationship Id="rId12" Type="http://schemas.openxmlformats.org/officeDocument/2006/relationships/hyperlink" Target="https://doi.org/10.1145/3306618.33142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madainternational.com/2024/09/weapons-that-watch-and-wait/" TargetMode="External"/><Relationship Id="rId15" Type="http://schemas.openxmlformats.org/officeDocument/2006/relationships/hyperlink" Target="https://taskandpurpose.com/news/russia-uran-9-robot-tank-problems/" TargetMode="External"/><Relationship Id="rId14" Type="http://schemas.openxmlformats.org/officeDocument/2006/relationships/hyperlink" Target="https://www.icrc.org/en/document/icrc-position-autonomous-weapon-systems" TargetMode="External"/><Relationship Id="rId17" Type="http://schemas.openxmlformats.org/officeDocument/2006/relationships/hyperlink" Target="https://www.esd.whs.mil/DD/" TargetMode="External"/><Relationship Id="rId16" Type="http://schemas.openxmlformats.org/officeDocument/2006/relationships/hyperlink" Target="https://taskandpurpose.com/news/russia-uran-9-robot-tank-problems/" TargetMode="External"/><Relationship Id="rId5" Type="http://schemas.openxmlformats.org/officeDocument/2006/relationships/styles" Target="styles.xml"/><Relationship Id="rId19" Type="http://schemas.openxmlformats.org/officeDocument/2006/relationships/hyperlink" Target="https://www.gao.gov/products/gao-24-107059" TargetMode="External"/><Relationship Id="rId6" Type="http://schemas.openxmlformats.org/officeDocument/2006/relationships/customXml" Target="../customXML/item1.xml"/><Relationship Id="rId18" Type="http://schemas.openxmlformats.org/officeDocument/2006/relationships/hyperlink" Target="https://www.esd.whs.mil/DD/" TargetMode="External"/><Relationship Id="rId7" Type="http://schemas.openxmlformats.org/officeDocument/2006/relationships/hyperlink" Target="https://www.cnas.org/publications/reports/understanding-ai-related-accidents" TargetMode="External"/><Relationship Id="rId8" Type="http://schemas.openxmlformats.org/officeDocument/2006/relationships/hyperlink" Target="https://www.cnas.org/publications/reports/understanding-ai-related-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S+kifwMHQ1AtaRAkO7No3+rgQ==">CgMxLjAyDmguc2Q4M3A1OGxwdmZoMg5oLmlzNW8yazM1dzA1azIOaC40bGpiNXVjcmgwbTY4AHIhMTc4c0doemsxTThBTGJzU3ZPeXBQdHdKSTJ4Zl82ekNK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